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05" w:rsidRDefault="00C153C9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7005" w:rsidRDefault="00C153C9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7005" w:rsidRDefault="00C153C9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_DdeLink__523_2554509279"/>
      <w:r>
        <w:rPr>
          <w:rFonts w:ascii="Arial" w:hAnsi="Arial" w:cs="Arial"/>
          <w:b/>
          <w:sz w:val="20"/>
          <w:szCs w:val="20"/>
        </w:rPr>
        <w:t xml:space="preserve">z dnia 16 kwietnia 2020 r.  </w:t>
      </w:r>
      <w:bookmarkEnd w:id="0"/>
    </w:p>
    <w:p w:rsidR="00747005" w:rsidRDefault="0074700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7005" w:rsidRDefault="00C153C9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7005" w:rsidRDefault="00C153C9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2020 roku</w:t>
      </w:r>
    </w:p>
    <w:p w:rsidR="00747005" w:rsidRDefault="00C153C9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Kultury, Dziedzictwa Narodowego i Sportu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74700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blicznego, 2.3.2 Cyfrowe udostępnienie zasobów kultury</w:t>
            </w:r>
          </w:p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7005" w:rsidRDefault="00C153C9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7005" w:rsidRDefault="00C153C9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7005" w:rsidRDefault="00C153C9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35"/>
        <w:gridCol w:w="6227"/>
        <w:gridCol w:w="2072"/>
      </w:tblGrid>
      <w:tr w:rsidR="0074700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zacji pr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747005">
        <w:tc>
          <w:tcPr>
            <w:tcW w:w="2972" w:type="dxa"/>
            <w:shd w:val="clear" w:color="auto" w:fill="auto"/>
          </w:tcPr>
          <w:p w:rsidR="00747005" w:rsidRDefault="007606AE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 w:cs="Calibri"/>
              </w:rPr>
              <w:t xml:space="preserve">13,88 </w:t>
            </w:r>
            <w:r w:rsidR="00C153C9">
              <w:rPr>
                <w:rFonts w:ascii="Arial" w:hAnsi="Arial" w:cs="Calibri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747005" w:rsidRPr="003E2D91" w:rsidRDefault="003E2D91" w:rsidP="003E2D91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3E2D91">
              <w:rPr>
                <w:rFonts w:ascii="Arial" w:hAnsi="Arial" w:cs="Arial"/>
                <w:sz w:val="18"/>
                <w:szCs w:val="20"/>
              </w:rPr>
              <w:t>13,20%</w:t>
            </w:r>
          </w:p>
          <w:p w:rsidR="003E2D91" w:rsidRPr="003E2D91" w:rsidRDefault="003E2D91" w:rsidP="003E2D91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3E2D91">
              <w:rPr>
                <w:rFonts w:ascii="Arial" w:hAnsi="Arial" w:cs="Arial"/>
                <w:sz w:val="18"/>
                <w:szCs w:val="20"/>
              </w:rPr>
              <w:t>12,90%</w:t>
            </w:r>
          </w:p>
          <w:p w:rsidR="003E2D91" w:rsidRPr="003E2D91" w:rsidRDefault="003E2D91" w:rsidP="003E2D91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E2D91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  <w:shd w:val="clear" w:color="auto" w:fill="auto"/>
          </w:tcPr>
          <w:p w:rsidR="00747005" w:rsidRDefault="003E2D9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1. 13,20%</w:t>
            </w:r>
          </w:p>
          <w:p w:rsidR="003E2D91" w:rsidRDefault="003E2D9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2. 12,90%</w:t>
            </w:r>
          </w:p>
          <w:p w:rsidR="003E2D91" w:rsidRDefault="003E2D9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3. Nie dotyczy</w:t>
            </w:r>
          </w:p>
        </w:tc>
      </w:tr>
    </w:tbl>
    <w:p w:rsidR="00747005" w:rsidRDefault="0074700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7005" w:rsidRDefault="00C153C9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7005" w:rsidRDefault="00C153C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7005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8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</w:t>
            </w:r>
            <w:r>
              <w:rPr>
                <w:rFonts w:ascii="Arial" w:hAnsi="Arial" w:cs="Arial"/>
                <w:b/>
                <w:sz w:val="20"/>
                <w:szCs w:val="20"/>
              </w:rPr>
              <w:t>ę</w:t>
            </w:r>
            <w:r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96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747005">
        <w:tc>
          <w:tcPr>
            <w:tcW w:w="2124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Opracowanie Studium Wykonalności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serwerowni i zakup wyposażenia –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gramistycznych dotycz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cych portalu on-line-protokół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gramowania do praco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 digitalizacji – protokół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</w:t>
            </w:r>
            <w:r>
              <w:rPr>
                <w:rFonts w:ascii="Arial" w:hAnsi="Arial"/>
                <w:sz w:val="18"/>
                <w:szCs w:val="18"/>
              </w:rPr>
              <w:t>o</w:t>
            </w:r>
            <w:r>
              <w:rPr>
                <w:rFonts w:ascii="Arial" w:hAnsi="Arial"/>
                <w:sz w:val="18"/>
                <w:szCs w:val="18"/>
              </w:rPr>
              <w:t>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mowujący realizację projektu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Upowszechnianie zdig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talizowanych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jące/ upowszechniające platformę - Raport ko</w:t>
            </w:r>
            <w:r>
              <w:rPr>
                <w:rFonts w:ascii="Arial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>cowe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wująca projekt</w:t>
            </w: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Raport podsumowujący działania informacy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j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no/promocyjne</w:t>
            </w:r>
          </w:p>
        </w:tc>
        <w:tc>
          <w:tcPr>
            <w:tcW w:w="1505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sażonych w sprzęt do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– wartość docelowa szt.1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 - wartość docelowa szt. 1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zdigitalizowanych dokumentów zawierających informacje sekt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ra publicznego - wartość docel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 szt. 1228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tów zawieraj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cych informacje sektora public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 - wartość docelowa szt. 6150</w:t>
            </w: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>Rozmiar zdigitalizowanej informacji sekt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ra publicznego - wartość docel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 16 TB</w:t>
            </w: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baz danych ud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stępnionych on-line poprzez API - wartość doc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lowa szt. 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10-2022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908" w:type="dxa"/>
            <w:shd w:val="clear" w:color="auto" w:fill="auto"/>
          </w:tcPr>
          <w:p w:rsidR="00747005" w:rsidRDefault="00C153C9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pStyle w:val="Akapitzlist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796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7005" w:rsidRDefault="00C153C9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5"/>
        <w:gridCol w:w="2266"/>
      </w:tblGrid>
      <w:tr w:rsidR="0074700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5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747005">
        <w:trPr>
          <w:trHeight w:val="777"/>
        </w:trPr>
        <w:tc>
          <w:tcPr>
            <w:tcW w:w="2545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udostępni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nych on-line dokumentów zwierających informację sektora publicznego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brań/odtworzeni dokume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tów zawierających inform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cje sektora publicznego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nego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</w:t>
            </w:r>
            <w:r>
              <w:rPr>
                <w:rFonts w:ascii="Arial" w:hAnsi="Arial"/>
                <w:sz w:val="18"/>
                <w:szCs w:val="18"/>
              </w:rPr>
              <w:t>o</w:t>
            </w:r>
            <w:r>
              <w:rPr>
                <w:rFonts w:ascii="Arial" w:hAnsi="Arial"/>
                <w:sz w:val="18"/>
                <w:szCs w:val="18"/>
              </w:rPr>
              <w:t>posażonych w sprzęt do digitalizacji.</w:t>
            </w: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>Liczba zdigitalizow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>
              <w:rPr>
                <w:rFonts w:ascii="Arial" w:hAnsi="Arial"/>
                <w:sz w:val="18"/>
                <w:szCs w:val="18"/>
              </w:rPr>
              <w:t>nych dokumentów zawier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>
              <w:rPr>
                <w:rFonts w:ascii="Arial" w:hAnsi="Arial"/>
                <w:sz w:val="18"/>
                <w:szCs w:val="18"/>
              </w:rPr>
              <w:t>jących informacje sektora publicznego</w:t>
            </w: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zdigitaliz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wanej informacji sektora publicznego. Pomiar jedn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krotny na zakończenie pr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jektu.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6150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16 TB</w:t>
            </w:r>
          </w:p>
        </w:tc>
        <w:tc>
          <w:tcPr>
            <w:tcW w:w="1705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6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7005" w:rsidRDefault="00C153C9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8"/>
        <w:gridCol w:w="1261"/>
        <w:gridCol w:w="1395"/>
        <w:gridCol w:w="4170"/>
      </w:tblGrid>
      <w:tr w:rsidR="00747005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0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7005">
        <w:tc>
          <w:tcPr>
            <w:tcW w:w="2807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0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7005" w:rsidRDefault="00C153C9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7"/>
        <w:gridCol w:w="1261"/>
        <w:gridCol w:w="1395"/>
        <w:gridCol w:w="4141"/>
      </w:tblGrid>
      <w:tr w:rsidR="00747005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1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7005">
        <w:tc>
          <w:tcPr>
            <w:tcW w:w="2836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Zdigitalizowanie i udostępnienie: Dzieł Sztuki Nowoczesnej, Dzieł Sztuki Dawnej i materiałów audiowizualne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7005" w:rsidRDefault="0074700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41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7005" w:rsidRDefault="00C153C9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3"/>
        <w:gridCol w:w="3543"/>
      </w:tblGrid>
      <w:tr w:rsidR="0074700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7005">
        <w:tc>
          <w:tcPr>
            <w:tcW w:w="2547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</w:t>
            </w:r>
            <w:r>
              <w:rPr>
                <w:rFonts w:ascii="Arial" w:hAnsi="Arial" w:cs="Calibri"/>
                <w:sz w:val="18"/>
                <w:szCs w:val="18"/>
              </w:rPr>
              <w:t>o</w:t>
            </w:r>
            <w:r>
              <w:rPr>
                <w:rFonts w:ascii="Arial" w:hAnsi="Arial" w:cs="Calibri"/>
                <w:sz w:val="18"/>
                <w:szCs w:val="18"/>
              </w:rPr>
              <w:t>stępu do zasobów kultury</w:t>
            </w:r>
          </w:p>
          <w:p w:rsidR="00747005" w:rsidRDefault="00747005">
            <w:pPr>
              <w:spacing w:after="0" w:line="240" w:lineRule="auto"/>
              <w:rPr>
                <w:rFonts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7005" w:rsidRDefault="00747005">
            <w:pPr>
              <w:spacing w:after="0" w:line="240" w:lineRule="auto"/>
              <w:rPr>
                <w:rFonts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Repozytorium Zdigitalizow</w:t>
            </w:r>
            <w:r>
              <w:rPr>
                <w:rFonts w:ascii="Arial" w:hAnsi="Arial" w:cs="Calibri"/>
                <w:sz w:val="18"/>
                <w:szCs w:val="18"/>
              </w:rPr>
              <w:t>a</w:t>
            </w:r>
            <w:r>
              <w:rPr>
                <w:rFonts w:ascii="Arial" w:hAnsi="Arial" w:cs="Calibri"/>
                <w:sz w:val="18"/>
                <w:szCs w:val="18"/>
              </w:rPr>
              <w:t>nych Dzieł</w:t>
            </w:r>
          </w:p>
          <w:p w:rsidR="00747005" w:rsidRDefault="0074700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7005" w:rsidRDefault="0074700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:rsidR="00747005" w:rsidRDefault="00747005">
            <w:pPr>
              <w:pStyle w:val="LO-normal"/>
              <w:rPr>
                <w:sz w:val="20"/>
                <w:szCs w:val="20"/>
              </w:rPr>
            </w:pPr>
          </w:p>
          <w:p w:rsidR="00747005" w:rsidRDefault="00747005">
            <w:pPr>
              <w:pStyle w:val="LO-normal"/>
              <w:rPr>
                <w:sz w:val="20"/>
                <w:szCs w:val="20"/>
              </w:rPr>
            </w:pPr>
          </w:p>
          <w:p w:rsidR="00747005" w:rsidRDefault="00747005">
            <w:pPr>
              <w:pStyle w:val="LO-normal"/>
              <w:rPr>
                <w:sz w:val="20"/>
                <w:szCs w:val="20"/>
              </w:rPr>
            </w:pPr>
          </w:p>
          <w:p w:rsidR="00747005" w:rsidRDefault="00C153C9">
            <w:pPr>
              <w:pStyle w:val="LO-normal"/>
            </w:pPr>
            <w:r>
              <w:rPr>
                <w:sz w:val="20"/>
                <w:szCs w:val="20"/>
              </w:rPr>
              <w:t>System Muzealny będzie zawierał moduł  pozwalający na dostarczenie z bazy d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zdigitalizowanych dzieł do KR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NIK@. Obsłużenie API platformy KR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NIK@. Umożliwienie wymiany danych z portalem KRONIK@. Kierunek przepływu danych to przekazywanie z Systemu Muzealnego danych do portalu KR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NIK@.</w:t>
            </w:r>
          </w:p>
        </w:tc>
      </w:tr>
    </w:tbl>
    <w:p w:rsidR="00747005" w:rsidRDefault="00C153C9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7005" w:rsidRDefault="00C153C9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700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7005">
        <w:tc>
          <w:tcPr>
            <w:tcW w:w="3152" w:type="dxa"/>
            <w:shd w:val="clear" w:color="auto" w:fill="auto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nogramu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nania zleceń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polityki informacyjnej wewnątrz jednostki - informowanie, czyli dokładne wyjaśni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nie, na czym polegają zmiany i w czym mogą pomóc (usprawnić dział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 xml:space="preserve">3. czy nastąpiła zmiana w zakresie danego ryzyka w stosunku do poprzedniego okresu sprawozdawczego: nie </w:t>
            </w:r>
            <w:r w:rsidR="003B7A01">
              <w:rPr>
                <w:rFonts w:ascii="Arial" w:hAnsi="Arial" w:cs="Calibri"/>
                <w:sz w:val="18"/>
                <w:szCs w:val="18"/>
              </w:rPr>
              <w:t>nastąpiła.</w:t>
            </w: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2" w:name="__DdeLink__7751_2756344845"/>
            <w:bookmarkEnd w:id="2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oprogramowania.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sów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 w:rsidR="003B7A01" w:rsidRPr="003B7A01">
              <w:rPr>
                <w:rFonts w:ascii="Arial" w:hAnsi="Arial" w:cs="Calibri"/>
                <w:sz w:val="18"/>
                <w:szCs w:val="18"/>
              </w:rPr>
              <w:t>nie nastąpiła.</w:t>
            </w:r>
            <w:bookmarkStart w:id="3" w:name="__DdeLink__7751_27563448451"/>
            <w:bookmarkEnd w:id="3"/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oprogramowania.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sów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 w:rsidR="003B7A01" w:rsidRPr="003B7A01">
              <w:rPr>
                <w:rFonts w:ascii="Arial" w:hAnsi="Arial" w:cs="Calibri"/>
                <w:sz w:val="18"/>
                <w:szCs w:val="18"/>
              </w:rPr>
              <w:t>nie nastąpiła.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wane poprzez stały i st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ranny monitoring budżetu projektu.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przekrocz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nia kosztów zawartych w poszczególnych zad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niach zostanie zaangaż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wana rezerwa finansowa przewidziana w projekcie.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 w:rsidR="003B7A01" w:rsidRPr="003B7A01">
              <w:rPr>
                <w:rFonts w:ascii="Arial" w:hAnsi="Arial" w:cs="Calibri"/>
                <w:sz w:val="18"/>
                <w:szCs w:val="18"/>
              </w:rPr>
              <w:t>nie nastąpiła.</w:t>
            </w: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czyn niezależnych od Wnioskodawcy, zapewni odpowiednia organizacja zamówień, uwzględniająca to zagrożenie. Wniosk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dawca przygotuje specyf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kację SIWZ pod kątem przeprowadzenia przeta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gów w projekcie w taki szczegółowy sposób, aby ograniczyć lub wyelimin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wać pytania i protesty potencjalnych oferentów.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zacji zamówień public</w:t>
            </w:r>
            <w:r>
              <w:rPr>
                <w:rFonts w:ascii="Arial" w:hAnsi="Arial" w:cs="Calibri"/>
                <w:sz w:val="18"/>
                <w:szCs w:val="18"/>
              </w:rPr>
              <w:t>z</w:t>
            </w:r>
            <w:r>
              <w:rPr>
                <w:rFonts w:ascii="Arial" w:hAnsi="Arial" w:cs="Calibri"/>
                <w:sz w:val="18"/>
                <w:szCs w:val="18"/>
              </w:rPr>
              <w:t>nych</w:t>
            </w:r>
          </w:p>
          <w:p w:rsidR="00747005" w:rsidRDefault="00C153C9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 w:rsidR="003B7A01" w:rsidRPr="003B7A01">
              <w:rPr>
                <w:rFonts w:ascii="Arial" w:hAnsi="Arial" w:cs="Calibri"/>
                <w:sz w:val="18"/>
                <w:szCs w:val="18"/>
              </w:rPr>
              <w:t>nie nastąpiła.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troli postępów prac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gramistycznych, inwest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cyjnych i wdrożeniowych. Umowy z dostawcami lub podwykonawcami będą starannie formułowane, aby wyeliminować ten czynnik ryzyka. Ponadto opracowany harmonogram zawiera niezbędny marg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nes czasowy, pozwalający przeprowadzić projekt w zakładanym terminie.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 w:rsidR="003B7A01" w:rsidRPr="003B7A01">
              <w:rPr>
                <w:rFonts w:ascii="Arial" w:hAnsi="Arial" w:cs="Calibri"/>
                <w:sz w:val="18"/>
                <w:szCs w:val="18"/>
              </w:rPr>
              <w:t>nie nastąpiła.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zyjny sposób zarządzania projektem oraz prowadz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ny będzie stały monitoring kadr projektu, a dobór kadry programistów i 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formatyków będzie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przedzony staranną anal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zą kompetencji oraz kwal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fikacji zgodnych z oczek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waniami i wymogami tw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rzonego systemu.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projektówym.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 w:rsidR="003B7A01" w:rsidRPr="003B7A01">
              <w:rPr>
                <w:rFonts w:ascii="Arial" w:hAnsi="Arial" w:cs="Calibri"/>
                <w:sz w:val="18"/>
                <w:szCs w:val="18"/>
              </w:rPr>
              <w:t>nie nastąpiła.</w:t>
            </w:r>
          </w:p>
          <w:p w:rsidR="003B7A01" w:rsidRDefault="003B7A0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wego i spójnego zakresu prac oraz uwzględnienie wszystkich etapów real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z całej dokumentacji projektowej.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cie trwania projektu.</w:t>
            </w:r>
          </w:p>
          <w:p w:rsidR="00747005" w:rsidRDefault="00C153C9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 w:rsidR="003B7A01" w:rsidRPr="003B7A01">
              <w:rPr>
                <w:rFonts w:ascii="Arial" w:hAnsi="Arial" w:cs="Calibri"/>
                <w:sz w:val="18"/>
                <w:szCs w:val="18"/>
              </w:rPr>
              <w:t>nie nastąpiła.</w:t>
            </w:r>
            <w:bookmarkStart w:id="4" w:name="_GoBack"/>
            <w:bookmarkEnd w:id="4"/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7005" w:rsidRDefault="0074700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7005" w:rsidRDefault="00C153C9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4"/>
        <w:gridCol w:w="2630"/>
      </w:tblGrid>
      <w:tr w:rsidR="00747005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7005" w:rsidRDefault="00C153C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7005" w:rsidRDefault="00C153C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7005" w:rsidRDefault="00C153C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7005" w:rsidRDefault="00C153C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7005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konawcy (vendor lock-in)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Cyberataki w internecie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talem on-line, a nowym Systemem Muzealnym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7005" w:rsidRDefault="00C153C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7005" w:rsidRDefault="00C153C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7005" w:rsidRDefault="0074700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7005" w:rsidRDefault="00C153C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czeństwa oraz audyt bezpi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czeństwa.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ności i wiarygodności info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macji oraz rozliczalności aktywności w systemie, st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sowanie mechanizmów kopii bezpieczeństwa.</w:t>
            </w: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stąpi zwiększenie zasobów. Monitoring i Alerty.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Planuje się użycie obecnie istniejącej bazy danych tylko w minimalnym stopniu - do umieszczania i prezentowania dzieł on-line, które zostaną zdigitalizowane i umieszczone w nowym oprogramowaniu Systemu Muzealnego. Nie występuje ryzyko dublowania danych - dane w bazie portalu on-line mają charakter repr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zentacyjny - informacyjny.</w:t>
            </w:r>
          </w:p>
        </w:tc>
      </w:tr>
    </w:tbl>
    <w:p w:rsidR="00747005" w:rsidRDefault="00C153C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7005" w:rsidRDefault="00C153C9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7005" w:rsidRDefault="00C153C9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5" w:name="_Hlk18274129"/>
      <w:r>
        <w:rPr>
          <w:rFonts w:ascii="Arial" w:hAnsi="Arial" w:cs="Arial"/>
        </w:rPr>
        <w:t xml:space="preserve">Emilia Antosz, Muzeum Sztuki w Łodzi, </w:t>
      </w:r>
      <w:hyperlink r:id="rId9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5"/>
    </w:p>
    <w:p w:rsidR="00747005" w:rsidRDefault="00747005">
      <w:pPr>
        <w:spacing w:after="0"/>
        <w:jc w:val="both"/>
        <w:rPr>
          <w:rFonts w:ascii="Arial" w:hAnsi="Arial" w:cs="Arial"/>
        </w:rPr>
      </w:pPr>
    </w:p>
    <w:p w:rsidR="00747005" w:rsidRDefault="00747005">
      <w:pPr>
        <w:spacing w:after="0"/>
        <w:jc w:val="both"/>
        <w:rPr>
          <w:rFonts w:ascii="Arial" w:hAnsi="Arial" w:cs="Arial"/>
        </w:rPr>
      </w:pPr>
    </w:p>
    <w:p w:rsidR="00747005" w:rsidRDefault="00747005">
      <w:pPr>
        <w:spacing w:after="0"/>
        <w:jc w:val="both"/>
      </w:pPr>
    </w:p>
    <w:sectPr w:rsidR="00747005" w:rsidSect="00747005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005" w:rsidRDefault="00747005" w:rsidP="00747005">
      <w:pPr>
        <w:spacing w:after="0" w:line="240" w:lineRule="auto"/>
      </w:pPr>
      <w:r>
        <w:separator/>
      </w:r>
    </w:p>
  </w:endnote>
  <w:endnote w:type="continuationSeparator" w:id="0">
    <w:p w:rsidR="00747005" w:rsidRDefault="00747005" w:rsidP="0074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3442653"/>
      <w:docPartObj>
        <w:docPartGallery w:val="Page Numbers (Top of Page)"/>
        <w:docPartUnique/>
      </w:docPartObj>
    </w:sdtPr>
    <w:sdtEndPr/>
    <w:sdtContent>
      <w:p w:rsidR="00747005" w:rsidRDefault="00C153C9">
        <w:pPr>
          <w:pStyle w:val="Stopka1"/>
          <w:jc w:val="right"/>
        </w:pPr>
        <w:r>
          <w:t xml:space="preserve">Strona </w:t>
        </w:r>
        <w:r w:rsidR="0074700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747005">
          <w:rPr>
            <w:b/>
            <w:bCs/>
            <w:sz w:val="24"/>
            <w:szCs w:val="24"/>
          </w:rPr>
          <w:fldChar w:fldCharType="separate"/>
        </w:r>
        <w:r w:rsidR="003B7A01">
          <w:rPr>
            <w:b/>
            <w:bCs/>
            <w:noProof/>
            <w:sz w:val="24"/>
            <w:szCs w:val="24"/>
          </w:rPr>
          <w:t>6</w:t>
        </w:r>
        <w:r w:rsidR="00747005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7005" w:rsidRDefault="00747005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005" w:rsidRDefault="00C153C9">
      <w:r>
        <w:separator/>
      </w:r>
    </w:p>
  </w:footnote>
  <w:footnote w:type="continuationSeparator" w:id="0">
    <w:p w:rsidR="00747005" w:rsidRDefault="00C153C9">
      <w:r>
        <w:continuationSeparator/>
      </w:r>
    </w:p>
  </w:footnote>
  <w:footnote w:id="1">
    <w:p w:rsidR="00747005" w:rsidRDefault="00C153C9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279A"/>
    <w:multiLevelType w:val="multilevel"/>
    <w:tmpl w:val="EB1C50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DA21E10"/>
    <w:multiLevelType w:val="multilevel"/>
    <w:tmpl w:val="5770E60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05"/>
    <w:rsid w:val="003B7A01"/>
    <w:rsid w:val="003E2D91"/>
    <w:rsid w:val="00747005"/>
    <w:rsid w:val="007606AE"/>
    <w:rsid w:val="00C1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LO-normal">
    <w:name w:val="LO-normal"/>
    <w:qFormat/>
    <w:rsid w:val="00747005"/>
    <w:rPr>
      <w:sz w:val="22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LO-normal">
    <w:name w:val="LO-normal"/>
    <w:qFormat/>
    <w:rsid w:val="00747005"/>
    <w:rPr>
      <w:sz w:val="22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.antosz@msl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ED51B-F4E7-4EC7-8FC6-D3670D4D0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1668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EAntosz</dc:creator>
  <cp:lastModifiedBy>EAntosz</cp:lastModifiedBy>
  <cp:revision>2</cp:revision>
  <dcterms:created xsi:type="dcterms:W3CDTF">2021-02-22T07:42:00Z</dcterms:created>
  <dcterms:modified xsi:type="dcterms:W3CDTF">2021-02-22T07:42:00Z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